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Calibri" w:hAnsi="Calibri" w:eastAsia="宋体" w:cs="Times New Roman"/>
          <w:b/>
          <w:sz w:val="32"/>
          <w:szCs w:val="32"/>
        </w:rPr>
      </w:pPr>
      <w:r>
        <w:rPr>
          <w:rFonts w:hint="eastAsia" w:ascii="Calibri" w:hAnsi="Calibri" w:eastAsia="宋体" w:cs="Times New Roman"/>
          <w:b/>
          <w:sz w:val="32"/>
          <w:szCs w:val="32"/>
        </w:rPr>
        <w:t>韩国</w:t>
      </w:r>
      <w:r>
        <w:rPr>
          <w:rFonts w:hint="eastAsia" w:ascii="Calibri" w:hAnsi="Calibri" w:eastAsia="宋体" w:cs="Times New Roman"/>
          <w:b/>
          <w:sz w:val="32"/>
          <w:szCs w:val="32"/>
          <w:lang w:eastAsia="zh-CN"/>
        </w:rPr>
        <w:t>汉阳</w:t>
      </w:r>
      <w:r>
        <w:rPr>
          <w:rFonts w:hint="eastAsia" w:ascii="Calibri" w:hAnsi="Calibri" w:eastAsia="宋体" w:cs="Times New Roman"/>
          <w:b/>
          <w:sz w:val="32"/>
          <w:szCs w:val="32"/>
        </w:rPr>
        <w:t>大学</w:t>
      </w:r>
      <w:r>
        <w:rPr>
          <w:rFonts w:hint="eastAsia" w:ascii="Calibri" w:hAnsi="Calibri" w:eastAsia="宋体" w:cs="Times New Roman"/>
          <w:b/>
          <w:sz w:val="32"/>
          <w:szCs w:val="32"/>
          <w:lang w:val="en-US" w:eastAsia="zh-CN"/>
        </w:rPr>
        <w:t>2019年春</w:t>
      </w:r>
      <w:r>
        <w:rPr>
          <w:rFonts w:hint="eastAsia" w:ascii="Calibri" w:hAnsi="Calibri" w:eastAsia="宋体" w:cs="Times New Roman"/>
          <w:b/>
          <w:sz w:val="32"/>
          <w:szCs w:val="32"/>
        </w:rPr>
        <w:t>季交换生</w:t>
      </w:r>
      <w:r>
        <w:rPr>
          <w:rFonts w:ascii="Calibri" w:hAnsi="Calibri" w:eastAsia="宋体" w:cs="Times New Roman"/>
          <w:b/>
          <w:sz w:val="32"/>
          <w:szCs w:val="32"/>
        </w:rPr>
        <w:t>项目</w:t>
      </w:r>
      <w:r>
        <w:rPr>
          <w:rFonts w:hint="eastAsia" w:ascii="Calibri" w:hAnsi="Calibri" w:eastAsia="宋体" w:cs="Times New Roman"/>
          <w:b/>
          <w:sz w:val="32"/>
          <w:szCs w:val="32"/>
        </w:rPr>
        <w:t>详情</w:t>
      </w:r>
    </w:p>
    <w:p>
      <w:pPr>
        <w:spacing w:line="400" w:lineRule="exact"/>
        <w:jc w:val="center"/>
        <w:rPr>
          <w:b/>
          <w:sz w:val="24"/>
          <w:szCs w:val="24"/>
        </w:rPr>
      </w:pPr>
    </w:p>
    <w:p>
      <w:pPr>
        <w:pStyle w:val="10"/>
        <w:numPr>
          <w:ilvl w:val="0"/>
          <w:numId w:val="1"/>
        </w:numPr>
        <w:spacing w:after="240" w:line="400" w:lineRule="exact"/>
        <w:ind w:firstLineChars="0"/>
        <w:jc w:val="left"/>
        <w:rPr>
          <w:b/>
          <w:sz w:val="24"/>
          <w:szCs w:val="24"/>
        </w:rPr>
      </w:pPr>
      <w:r>
        <w:rPr>
          <w:rFonts w:hint="eastAsia"/>
          <w:b/>
          <w:sz w:val="24"/>
          <w:szCs w:val="24"/>
          <w:lang w:eastAsia="zh-CN"/>
        </w:rPr>
        <w:t>汉阳</w:t>
      </w:r>
      <w:r>
        <w:rPr>
          <w:rFonts w:hint="eastAsia"/>
          <w:b/>
          <w:sz w:val="24"/>
          <w:szCs w:val="24"/>
        </w:rPr>
        <w:t>大学简介及</w:t>
      </w:r>
      <w:r>
        <w:rPr>
          <w:b/>
          <w:sz w:val="24"/>
          <w:szCs w:val="24"/>
        </w:rPr>
        <w:t>网址</w:t>
      </w:r>
    </w:p>
    <w:p>
      <w:pPr>
        <w:spacing w:line="400" w:lineRule="exact"/>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汉阳大学（The Hanyang University）是一所拥有近80年历史的韩国顶尖的综合型私立大学，其本部位于首尔，前身为创建于1939年的东亚工科学院。作为韩国的第一所工学院，该校培养出了一大批为国家工业化及现代化建设做出突出贡献的栋梁之才。汉阳大学共有2个校区，分别是首尔校区和安山校区，学校共有23个学院，19个研究生院，另外还设置了产业科学研究所、自然科学研究所、环境科学研究所等105个附属研究机构，以及包括放射线安全新技术研究中心在内的20个国策研究中心。 根据2018年QS世界大学排名，汉阳大学位列第155名。</w:t>
      </w:r>
    </w:p>
    <w:p>
      <w:pPr>
        <w:spacing w:line="400" w:lineRule="exact"/>
        <w:ind w:firstLine="480" w:firstLineChars="200"/>
        <w:rPr>
          <w:rFonts w:hint="eastAsia"/>
          <w:sz w:val="24"/>
          <w:szCs w:val="24"/>
        </w:rPr>
      </w:pPr>
      <w:r>
        <w:rPr>
          <w:rFonts w:hint="eastAsia" w:asciiTheme="majorEastAsia" w:hAnsiTheme="majorEastAsia" w:eastAsiaTheme="majorEastAsia"/>
          <w:sz w:val="24"/>
          <w:szCs w:val="24"/>
        </w:rPr>
        <w:t>根据我校与韩国汉阳大学签订的校际合作协议，</w:t>
      </w:r>
      <w:r>
        <w:rPr>
          <w:rFonts w:hint="eastAsia"/>
          <w:sz w:val="24"/>
          <w:szCs w:val="24"/>
        </w:rPr>
        <w:t>我校可向韩国汉阳大学</w:t>
      </w:r>
      <w:r>
        <w:rPr>
          <w:rFonts w:hint="eastAsia" w:asciiTheme="majorEastAsia" w:hAnsiTheme="majorEastAsia" w:eastAsiaTheme="majorEastAsia"/>
          <w:sz w:val="24"/>
          <w:szCs w:val="24"/>
        </w:rPr>
        <w:t>安山校区</w:t>
      </w:r>
      <w:r>
        <w:rPr>
          <w:rFonts w:hint="eastAsia"/>
          <w:sz w:val="24"/>
          <w:szCs w:val="24"/>
        </w:rPr>
        <w:t>选派</w:t>
      </w:r>
      <w:r>
        <w:rPr>
          <w:rFonts w:hint="eastAsia"/>
          <w:sz w:val="24"/>
          <w:szCs w:val="24"/>
          <w:lang w:val="en-US" w:eastAsia="zh-CN"/>
        </w:rPr>
        <w:t>2名</w:t>
      </w:r>
      <w:r>
        <w:rPr>
          <w:rFonts w:hint="eastAsia"/>
          <w:sz w:val="24"/>
          <w:szCs w:val="24"/>
        </w:rPr>
        <w:t>优秀学生进行一学期的交换学习。</w:t>
      </w:r>
    </w:p>
    <w:p>
      <w:pPr>
        <w:spacing w:line="400" w:lineRule="exact"/>
        <w:ind w:firstLine="480" w:firstLineChars="200"/>
        <w:rPr>
          <w:rFonts w:hint="eastAsia"/>
          <w:sz w:val="24"/>
          <w:szCs w:val="24"/>
        </w:rPr>
      </w:pPr>
    </w:p>
    <w:p>
      <w:pPr>
        <w:spacing w:line="400" w:lineRule="exact"/>
        <w:rPr>
          <w:sz w:val="24"/>
          <w:szCs w:val="24"/>
        </w:rPr>
      </w:pPr>
      <w:r>
        <w:rPr>
          <w:rFonts w:hint="eastAsia"/>
          <w:sz w:val="24"/>
          <w:szCs w:val="24"/>
          <w:lang w:eastAsia="zh-CN"/>
        </w:rPr>
        <w:t>汉阳</w:t>
      </w:r>
      <w:r>
        <w:rPr>
          <w:rFonts w:hint="eastAsia"/>
          <w:sz w:val="24"/>
          <w:szCs w:val="24"/>
        </w:rPr>
        <w:t>大学官网网址</w:t>
      </w:r>
    </w:p>
    <w:p>
      <w:pPr>
        <w:spacing w:line="400" w:lineRule="exact"/>
        <w:rPr>
          <w:rFonts w:hint="eastAsia"/>
        </w:rPr>
      </w:pPr>
      <w:r>
        <w:rPr>
          <w:rFonts w:hint="eastAsia"/>
        </w:rPr>
        <w:fldChar w:fldCharType="begin"/>
      </w:r>
      <w:r>
        <w:rPr>
          <w:rFonts w:hint="eastAsia"/>
        </w:rPr>
        <w:instrText xml:space="preserve"> HYPERLINK "http://www.hanyang.ac.kr/" </w:instrText>
      </w:r>
      <w:r>
        <w:rPr>
          <w:rFonts w:hint="eastAsia"/>
        </w:rPr>
        <w:fldChar w:fldCharType="separate"/>
      </w:r>
      <w:r>
        <w:rPr>
          <w:rStyle w:val="5"/>
          <w:rFonts w:hint="eastAsia"/>
        </w:rPr>
        <w:t>http://www.hanyang.ac.kr/</w:t>
      </w:r>
      <w:r>
        <w:rPr>
          <w:rFonts w:hint="eastAsia"/>
        </w:rPr>
        <w:fldChar w:fldCharType="end"/>
      </w:r>
    </w:p>
    <w:p>
      <w:pPr>
        <w:spacing w:line="400" w:lineRule="exact"/>
        <w:rPr>
          <w:sz w:val="24"/>
          <w:szCs w:val="24"/>
        </w:rPr>
      </w:pPr>
      <w:r>
        <w:rPr>
          <w:rFonts w:hint="eastAsia"/>
          <w:sz w:val="24"/>
          <w:szCs w:val="24"/>
          <w:lang w:eastAsia="zh-CN"/>
        </w:rPr>
        <w:t>汉阳</w:t>
      </w:r>
      <w:r>
        <w:rPr>
          <w:rFonts w:hint="eastAsia"/>
          <w:sz w:val="24"/>
          <w:szCs w:val="24"/>
        </w:rPr>
        <w:t>大学中文官网网址</w:t>
      </w:r>
    </w:p>
    <w:p>
      <w:pPr>
        <w:spacing w:line="400" w:lineRule="exact"/>
        <w:rPr>
          <w:rStyle w:val="6"/>
          <w:rFonts w:hint="eastAsia"/>
          <w:sz w:val="24"/>
          <w:szCs w:val="24"/>
        </w:rPr>
      </w:pPr>
      <w:r>
        <w:rPr>
          <w:rStyle w:val="6"/>
          <w:rFonts w:hint="eastAsia"/>
          <w:sz w:val="24"/>
          <w:szCs w:val="24"/>
        </w:rPr>
        <w:fldChar w:fldCharType="begin"/>
      </w:r>
      <w:r>
        <w:rPr>
          <w:rStyle w:val="6"/>
          <w:rFonts w:hint="eastAsia"/>
          <w:sz w:val="24"/>
          <w:szCs w:val="24"/>
        </w:rPr>
        <w:instrText xml:space="preserve"> HYPERLINK "http://www.hanyang.ac.kr/web/chn" </w:instrText>
      </w:r>
      <w:r>
        <w:rPr>
          <w:rStyle w:val="6"/>
          <w:rFonts w:hint="eastAsia"/>
          <w:sz w:val="24"/>
          <w:szCs w:val="24"/>
        </w:rPr>
        <w:fldChar w:fldCharType="separate"/>
      </w:r>
      <w:r>
        <w:rPr>
          <w:rStyle w:val="5"/>
          <w:rFonts w:hint="eastAsia"/>
          <w:sz w:val="24"/>
          <w:szCs w:val="24"/>
        </w:rPr>
        <w:t>http://www.hanyang.ac.kr/web/chn</w:t>
      </w:r>
      <w:r>
        <w:rPr>
          <w:rStyle w:val="6"/>
          <w:rFonts w:hint="eastAsia"/>
          <w:sz w:val="24"/>
          <w:szCs w:val="24"/>
        </w:rPr>
        <w:fldChar w:fldCharType="end"/>
      </w:r>
    </w:p>
    <w:p>
      <w:pPr>
        <w:spacing w:line="400" w:lineRule="exact"/>
        <w:rPr>
          <w:rStyle w:val="6"/>
          <w:rFonts w:hint="eastAsia"/>
          <w:sz w:val="24"/>
          <w:szCs w:val="24"/>
        </w:rPr>
      </w:pPr>
    </w:p>
    <w:p>
      <w:pPr>
        <w:spacing w:line="400" w:lineRule="exact"/>
        <w:jc w:val="left"/>
        <w:rPr>
          <w:b/>
          <w:sz w:val="24"/>
          <w:szCs w:val="24"/>
        </w:rPr>
      </w:pPr>
      <w:r>
        <w:rPr>
          <w:rFonts w:hint="eastAsia"/>
          <w:b/>
          <w:sz w:val="24"/>
          <w:szCs w:val="24"/>
        </w:rPr>
        <w:t>二、课程信息</w:t>
      </w:r>
    </w:p>
    <w:p>
      <w:pPr>
        <w:pStyle w:val="10"/>
        <w:keepNext w:val="0"/>
        <w:keepLines w:val="0"/>
        <w:pageBreakBefore w:val="0"/>
        <w:numPr>
          <w:ilvl w:val="0"/>
          <w:numId w:val="2"/>
        </w:numPr>
        <w:kinsoku/>
        <w:wordWrap/>
        <w:overflowPunct/>
        <w:topLinePunct w:val="0"/>
        <w:autoSpaceDE/>
        <w:autoSpaceDN/>
        <w:bidi w:val="0"/>
        <w:adjustRightInd/>
        <w:snapToGrid/>
        <w:spacing w:beforeAutospacing="0" w:afterAutospacing="0" w:line="440" w:lineRule="exact"/>
        <w:ind w:firstLineChars="0"/>
        <w:textAlignment w:val="auto"/>
        <w:rPr>
          <w:rFonts w:hint="eastAsia"/>
          <w:b/>
          <w:sz w:val="24"/>
          <w:szCs w:val="24"/>
        </w:rPr>
      </w:pPr>
      <w:r>
        <w:rPr>
          <w:rFonts w:hint="eastAsia"/>
          <w:b/>
          <w:sz w:val="24"/>
          <w:szCs w:val="24"/>
        </w:rPr>
        <w:t>英语授课的课程</w:t>
      </w:r>
    </w:p>
    <w:p>
      <w:pPr>
        <w:keepNext w:val="0"/>
        <w:keepLines w:val="0"/>
        <w:pageBreakBefore w:val="0"/>
        <w:widowControl/>
        <w:kinsoku/>
        <w:wordWrap/>
        <w:overflowPunct/>
        <w:topLinePunct w:val="0"/>
        <w:autoSpaceDE/>
        <w:autoSpaceDN/>
        <w:bidi w:val="0"/>
        <w:adjustRightInd/>
        <w:snapToGrid/>
        <w:spacing w:beforeAutospacing="0" w:afterAutospacing="0" w:line="440" w:lineRule="exact"/>
        <w:ind w:left="0" w:leftChars="0" w:right="-235" w:rightChars="-112" w:firstLine="0" w:firstLineChars="0"/>
        <w:jc w:val="left"/>
        <w:textAlignment w:val="auto"/>
        <w:outlineLvl w:val="9"/>
        <w:rPr>
          <w:rStyle w:val="6"/>
          <w:rFonts w:hint="eastAsia"/>
          <w:sz w:val="24"/>
          <w:szCs w:val="24"/>
          <w:lang w:val="en-US" w:eastAsia="zh-CN"/>
        </w:rPr>
      </w:pPr>
      <w:r>
        <w:rPr>
          <w:rFonts w:hint="eastAsia" w:ascii="Batang" w:hAnsi="Batang" w:eastAsia="宋体" w:cs="Batang"/>
          <w:sz w:val="24"/>
          <w:szCs w:val="24"/>
          <w:lang w:eastAsia="zh-CN"/>
        </w:rPr>
        <w:t>详见</w:t>
      </w:r>
      <w:r>
        <w:rPr>
          <w:rFonts w:hint="eastAsia" w:ascii="Batang" w:hAnsi="Batang" w:eastAsia="宋体" w:cs="Batang"/>
          <w:sz w:val="24"/>
          <w:szCs w:val="24"/>
          <w:lang w:val="en-US" w:eastAsia="zh-CN"/>
        </w:rPr>
        <w:t xml:space="preserve">: </w:t>
      </w:r>
      <w:r>
        <w:rPr>
          <w:rStyle w:val="6"/>
          <w:rFonts w:hint="eastAsia"/>
          <w:sz w:val="24"/>
          <w:szCs w:val="24"/>
          <w:lang w:val="en-US" w:eastAsia="zh-CN"/>
        </w:rPr>
        <w:fldChar w:fldCharType="begin"/>
      </w:r>
      <w:r>
        <w:rPr>
          <w:rStyle w:val="6"/>
          <w:rFonts w:hint="eastAsia"/>
          <w:sz w:val="24"/>
          <w:szCs w:val="24"/>
          <w:lang w:val="en-US" w:eastAsia="zh-CN"/>
        </w:rPr>
        <w:instrText xml:space="preserve"> HYPERLINK "http://www.hanyangexchange.com/academics/syllabus/" </w:instrText>
      </w:r>
      <w:r>
        <w:rPr>
          <w:rStyle w:val="6"/>
          <w:rFonts w:hint="eastAsia"/>
          <w:sz w:val="24"/>
          <w:szCs w:val="24"/>
          <w:lang w:val="en-US" w:eastAsia="zh-CN"/>
        </w:rPr>
        <w:fldChar w:fldCharType="separate"/>
      </w:r>
      <w:r>
        <w:rPr>
          <w:rStyle w:val="6"/>
          <w:rFonts w:hint="eastAsia"/>
          <w:sz w:val="24"/>
          <w:szCs w:val="24"/>
          <w:lang w:val="en-US" w:eastAsia="zh-CN"/>
        </w:rPr>
        <w:t>http://www.hanyangexchange.com/academics/syllabus/</w:t>
      </w:r>
      <w:r>
        <w:rPr>
          <w:rStyle w:val="6"/>
          <w:rFonts w:hint="eastAsia"/>
          <w:sz w:val="24"/>
          <w:szCs w:val="24"/>
          <w:lang w:val="en-US" w:eastAsia="zh-CN"/>
        </w:rPr>
        <w:fldChar w:fldCharType="end"/>
      </w:r>
    </w:p>
    <w:p>
      <w:pPr>
        <w:keepNext w:val="0"/>
        <w:keepLines w:val="0"/>
        <w:pageBreakBefore w:val="0"/>
        <w:kinsoku/>
        <w:wordWrap/>
        <w:overflowPunct/>
        <w:topLinePunct w:val="0"/>
        <w:autoSpaceDE/>
        <w:autoSpaceDN/>
        <w:bidi w:val="0"/>
        <w:adjustRightInd/>
        <w:snapToGrid/>
        <w:spacing w:beforeAutospacing="0" w:afterAutospacing="0" w:line="440" w:lineRule="exact"/>
        <w:textAlignment w:val="auto"/>
        <w:rPr>
          <w:rFonts w:hint="eastAsia"/>
          <w:b/>
          <w:sz w:val="24"/>
          <w:szCs w:val="24"/>
          <w:lang w:val="en-US" w:eastAsia="zh-CN"/>
        </w:rPr>
      </w:pPr>
      <w:r>
        <w:rPr>
          <w:rFonts w:hint="eastAsia"/>
          <w:b/>
          <w:sz w:val="24"/>
          <w:szCs w:val="24"/>
          <w:lang w:val="en-US" w:eastAsia="zh-CN"/>
        </w:rPr>
        <w:t>2</w:t>
      </w:r>
      <w:r>
        <w:rPr>
          <w:rFonts w:hint="eastAsia"/>
          <w:b/>
          <w:sz w:val="24"/>
          <w:szCs w:val="24"/>
        </w:rPr>
        <w:t>、</w:t>
      </w:r>
      <w:r>
        <w:rPr>
          <w:rFonts w:hint="eastAsia"/>
          <w:b/>
          <w:sz w:val="24"/>
          <w:szCs w:val="24"/>
          <w:lang w:eastAsia="zh-CN"/>
        </w:rPr>
        <w:t>选课限制：每学期最少选课</w:t>
      </w:r>
      <w:r>
        <w:rPr>
          <w:rFonts w:hint="eastAsia"/>
          <w:b/>
          <w:sz w:val="24"/>
          <w:szCs w:val="24"/>
          <w:lang w:val="en-US" w:eastAsia="zh-CN"/>
        </w:rPr>
        <w:t>10个学分,最多20个学分</w:t>
      </w:r>
    </w:p>
    <w:p>
      <w:pPr>
        <w:spacing w:line="360" w:lineRule="auto"/>
        <w:ind w:firstLine="480" w:firstLineChars="200"/>
        <w:rPr>
          <w:rFonts w:hint="eastAsia" w:eastAsiaTheme="minorEastAsia"/>
          <w:color w:val="FF0000"/>
          <w:sz w:val="24"/>
          <w:szCs w:val="24"/>
          <w:lang w:val="en-US" w:eastAsia="zh-CN"/>
        </w:rPr>
      </w:pPr>
    </w:p>
    <w:p>
      <w:pPr>
        <w:pStyle w:val="10"/>
        <w:numPr>
          <w:ilvl w:val="0"/>
          <w:numId w:val="3"/>
        </w:numPr>
        <w:spacing w:after="240" w:line="400" w:lineRule="exact"/>
        <w:ind w:firstLineChars="0"/>
        <w:jc w:val="left"/>
        <w:rPr>
          <w:b/>
          <w:sz w:val="24"/>
          <w:szCs w:val="24"/>
        </w:rPr>
      </w:pPr>
      <w:r>
        <w:rPr>
          <w:rFonts w:hint="eastAsia"/>
          <w:b/>
          <w:sz w:val="24"/>
          <w:szCs w:val="24"/>
        </w:rPr>
        <w:t>项目费用</w:t>
      </w:r>
      <w:r>
        <w:rPr>
          <w:b/>
          <w:sz w:val="24"/>
          <w:szCs w:val="24"/>
        </w:rPr>
        <w:t>情况</w:t>
      </w:r>
    </w:p>
    <w:p>
      <w:pPr>
        <w:spacing w:line="400" w:lineRule="exact"/>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参加该项目的学生须照常交纳我校学费、注册费等相关费用。</w:t>
      </w:r>
      <w:r>
        <w:rPr>
          <w:rFonts w:hint="eastAsia" w:asciiTheme="majorEastAsia" w:hAnsiTheme="majorEastAsia" w:eastAsiaTheme="majorEastAsia"/>
          <w:sz w:val="24"/>
          <w:szCs w:val="24"/>
          <w:lang w:eastAsia="zh-CN"/>
        </w:rPr>
        <w:t>我校可选派两名优秀学生</w:t>
      </w:r>
      <w:r>
        <w:rPr>
          <w:rFonts w:hint="eastAsia" w:asciiTheme="majorEastAsia" w:hAnsiTheme="majorEastAsia" w:eastAsiaTheme="majorEastAsia"/>
          <w:sz w:val="24"/>
          <w:szCs w:val="24"/>
        </w:rPr>
        <w:t>在</w:t>
      </w:r>
      <w:r>
        <w:rPr>
          <w:rFonts w:hint="eastAsia" w:asciiTheme="majorEastAsia" w:hAnsiTheme="majorEastAsia" w:eastAsiaTheme="majorEastAsia"/>
          <w:sz w:val="24"/>
          <w:szCs w:val="24"/>
          <w:lang w:eastAsia="zh-CN"/>
        </w:rPr>
        <w:t>汉阳</w:t>
      </w:r>
      <w:r>
        <w:rPr>
          <w:rFonts w:hint="eastAsia" w:asciiTheme="majorEastAsia" w:hAnsiTheme="majorEastAsia" w:eastAsiaTheme="majorEastAsia"/>
          <w:sz w:val="24"/>
          <w:szCs w:val="24"/>
        </w:rPr>
        <w:t>大学学习期间免交该校学费</w:t>
      </w:r>
      <w:r>
        <w:rPr>
          <w:rFonts w:hint="eastAsia" w:asciiTheme="majorEastAsia" w:hAnsiTheme="majorEastAsia" w:eastAsiaTheme="majorEastAsia"/>
          <w:sz w:val="24"/>
          <w:szCs w:val="24"/>
          <w:lang w:val="en-US" w:eastAsia="zh-CN"/>
        </w:rPr>
        <w:t>(其他学生可缴纳汉阳大学学费参加该项目)</w:t>
      </w: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lang w:eastAsia="zh-CN"/>
        </w:rPr>
        <w:t>并</w:t>
      </w:r>
      <w:r>
        <w:rPr>
          <w:rFonts w:hint="eastAsia" w:asciiTheme="majorEastAsia" w:hAnsiTheme="majorEastAsia" w:eastAsiaTheme="majorEastAsia"/>
          <w:sz w:val="24"/>
          <w:szCs w:val="24"/>
        </w:rPr>
        <w:t>须交纳如下费用。</w:t>
      </w:r>
    </w:p>
    <w:p>
      <w:pPr>
        <w:pStyle w:val="10"/>
        <w:numPr>
          <w:ilvl w:val="0"/>
          <w:numId w:val="4"/>
        </w:numPr>
        <w:spacing w:line="360" w:lineRule="auto"/>
        <w:ind w:firstLineChars="0"/>
        <w:rPr>
          <w:rFonts w:hint="eastAsia"/>
          <w:b/>
          <w:sz w:val="24"/>
          <w:szCs w:val="24"/>
        </w:rPr>
      </w:pPr>
      <w:r>
        <w:rPr>
          <w:rFonts w:hint="eastAsia"/>
          <w:b/>
          <w:sz w:val="24"/>
          <w:szCs w:val="24"/>
        </w:rPr>
        <w:t>生活馆（学生宿舍）费用</w:t>
      </w:r>
    </w:p>
    <w:p>
      <w:pPr>
        <w:spacing w:line="400" w:lineRule="exact"/>
        <w:ind w:firstLine="480" w:firstLineChars="200"/>
        <w:rPr>
          <w:rFonts w:hint="eastAsia" w:asciiTheme="majorEastAsia" w:hAnsiTheme="majorEastAsia" w:eastAsiaTheme="majorEastAsia"/>
          <w:sz w:val="24"/>
          <w:szCs w:val="24"/>
          <w:lang w:val="en-US" w:eastAsia="zh-CN"/>
        </w:rPr>
      </w:pPr>
      <w:r>
        <w:rPr>
          <w:rFonts w:hint="eastAsia" w:asciiTheme="majorEastAsia" w:hAnsiTheme="majorEastAsia" w:eastAsiaTheme="majorEastAsia"/>
          <w:sz w:val="24"/>
          <w:szCs w:val="24"/>
        </w:rPr>
        <w:t>生活馆金额 : 约1,095,000韩元</w:t>
      </w:r>
      <w:r>
        <w:rPr>
          <w:rFonts w:hint="eastAsia" w:asciiTheme="majorEastAsia" w:hAnsiTheme="majorEastAsia" w:eastAsiaTheme="majorEastAsia"/>
          <w:sz w:val="24"/>
          <w:szCs w:val="24"/>
          <w:lang w:val="en-US" w:eastAsia="zh-CN"/>
        </w:rPr>
        <w:t>/学期</w:t>
      </w:r>
    </w:p>
    <w:p>
      <w:pPr>
        <w:pStyle w:val="10"/>
        <w:autoSpaceDE w:val="0"/>
        <w:autoSpaceDN w:val="0"/>
        <w:adjustRightInd w:val="0"/>
        <w:jc w:val="left"/>
        <w:rPr>
          <w:rFonts w:hint="eastAsia" w:asciiTheme="minorEastAsia" w:hAnsiTheme="minorEastAsia"/>
          <w:sz w:val="24"/>
          <w:szCs w:val="24"/>
        </w:rPr>
      </w:pPr>
      <w:r>
        <w:rPr>
          <w:rFonts w:hint="eastAsia" w:asciiTheme="minorEastAsia" w:hAnsiTheme="minorEastAsia"/>
          <w:sz w:val="24"/>
          <w:szCs w:val="24"/>
          <w:lang w:val="en-US" w:eastAsia="zh-CN"/>
        </w:rPr>
        <w:t>详见:</w:t>
      </w:r>
      <w:r>
        <w:rPr>
          <w:rFonts w:hint="eastAsia" w:asciiTheme="minorEastAsia" w:hAnsiTheme="minorEastAsia"/>
          <w:sz w:val="24"/>
          <w:szCs w:val="24"/>
          <w:lang w:val="en-US" w:eastAsia="zh-CN"/>
        </w:rPr>
        <w:fldChar w:fldCharType="begin"/>
      </w:r>
      <w:r>
        <w:rPr>
          <w:rFonts w:hint="eastAsia" w:asciiTheme="minorEastAsia" w:hAnsiTheme="minorEastAsia"/>
          <w:sz w:val="24"/>
          <w:szCs w:val="24"/>
          <w:lang w:val="en-US" w:eastAsia="zh-CN"/>
        </w:rPr>
        <w:instrText xml:space="preserve"> HYPERLINK "http://www.hanyangexchange.com/preparations/accommodation/" </w:instrText>
      </w:r>
      <w:r>
        <w:rPr>
          <w:rFonts w:hint="eastAsia" w:asciiTheme="minorEastAsia" w:hAnsiTheme="minorEastAsia"/>
          <w:sz w:val="24"/>
          <w:szCs w:val="24"/>
          <w:lang w:val="en-US" w:eastAsia="zh-CN"/>
        </w:rPr>
        <w:fldChar w:fldCharType="separate"/>
      </w:r>
      <w:r>
        <w:rPr>
          <w:rStyle w:val="5"/>
          <w:rFonts w:hint="eastAsia" w:asciiTheme="minorEastAsia" w:hAnsiTheme="minorEastAsia"/>
          <w:sz w:val="24"/>
          <w:szCs w:val="24"/>
          <w:lang w:val="en-US" w:eastAsia="zh-CN"/>
        </w:rPr>
        <w:t>http://www.hanyangexchange.com/preparations/accommodation/</w:t>
      </w:r>
      <w:r>
        <w:rPr>
          <w:rFonts w:hint="eastAsia" w:asciiTheme="minorEastAsia" w:hAnsiTheme="minorEastAsia"/>
          <w:sz w:val="24"/>
          <w:szCs w:val="24"/>
          <w:lang w:val="en-US" w:eastAsia="zh-CN"/>
        </w:rPr>
        <w:fldChar w:fldCharType="end"/>
      </w:r>
    </w:p>
    <w:p>
      <w:pPr>
        <w:spacing w:line="360" w:lineRule="auto"/>
        <w:rPr>
          <w:b/>
          <w:sz w:val="24"/>
          <w:szCs w:val="24"/>
        </w:rPr>
      </w:pPr>
      <w:r>
        <w:rPr>
          <w:rFonts w:hint="eastAsia"/>
          <w:b/>
          <w:sz w:val="24"/>
          <w:szCs w:val="24"/>
        </w:rPr>
        <w:t>2、保险费</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lang w:eastAsia="zh-CN"/>
        </w:rPr>
        <w:t>保险</w:t>
      </w:r>
      <w:r>
        <w:rPr>
          <w:rFonts w:hint="eastAsia" w:asciiTheme="majorEastAsia" w:hAnsiTheme="majorEastAsia" w:eastAsiaTheme="majorEastAsia"/>
          <w:sz w:val="24"/>
          <w:szCs w:val="24"/>
        </w:rPr>
        <w:t>费用：每年交纳保险费约</w:t>
      </w:r>
      <w:bookmarkStart w:id="0" w:name="OLE_LINK4"/>
      <w:bookmarkStart w:id="1" w:name="OLE_LINK3"/>
      <w:r>
        <w:rPr>
          <w:rFonts w:hint="eastAsia" w:asciiTheme="majorEastAsia" w:hAnsiTheme="majorEastAsia" w:eastAsiaTheme="majorEastAsia"/>
          <w:sz w:val="24"/>
          <w:szCs w:val="24"/>
        </w:rPr>
        <w:t>130,000韩元</w:t>
      </w:r>
      <w:bookmarkEnd w:id="0"/>
      <w:bookmarkEnd w:id="1"/>
      <w:r>
        <w:rPr>
          <w:rFonts w:hint="eastAsia" w:asciiTheme="majorEastAsia" w:hAnsiTheme="majorEastAsia" w:eastAsiaTheme="majorEastAsia"/>
          <w:sz w:val="24"/>
          <w:szCs w:val="24"/>
        </w:rPr>
        <w:t>。</w:t>
      </w:r>
    </w:p>
    <w:p>
      <w:pPr>
        <w:spacing w:line="360" w:lineRule="auto"/>
        <w:rPr>
          <w:sz w:val="24"/>
          <w:szCs w:val="24"/>
        </w:rPr>
      </w:pPr>
      <w:r>
        <w:rPr>
          <w:rFonts w:hint="eastAsia"/>
          <w:b/>
          <w:sz w:val="24"/>
          <w:szCs w:val="24"/>
        </w:rPr>
        <w:t>3、韩语培训课程费用</w:t>
      </w:r>
    </w:p>
    <w:p>
      <w:pPr>
        <w:spacing w:line="360" w:lineRule="auto"/>
        <w:ind w:firstLine="480" w:firstLineChars="200"/>
        <w:rPr>
          <w:rFonts w:hint="eastAsia"/>
          <w:sz w:val="24"/>
          <w:szCs w:val="24"/>
        </w:rPr>
      </w:pPr>
      <w:r>
        <w:rPr>
          <w:rFonts w:hint="eastAsia" w:asciiTheme="majorEastAsia" w:hAnsiTheme="majorEastAsia" w:eastAsiaTheme="majorEastAsia"/>
          <w:sz w:val="24"/>
          <w:szCs w:val="24"/>
        </w:rPr>
        <w:t>该课程对</w:t>
      </w:r>
      <w:r>
        <w:rPr>
          <w:rFonts w:hint="eastAsia" w:asciiTheme="majorEastAsia" w:hAnsiTheme="majorEastAsia" w:eastAsiaTheme="majorEastAsia"/>
          <w:sz w:val="24"/>
          <w:szCs w:val="24"/>
          <w:lang w:eastAsia="zh-CN"/>
        </w:rPr>
        <w:t>交换生</w:t>
      </w:r>
      <w:r>
        <w:rPr>
          <w:rFonts w:hint="eastAsia" w:asciiTheme="majorEastAsia" w:hAnsiTheme="majorEastAsia" w:eastAsiaTheme="majorEastAsia"/>
          <w:sz w:val="24"/>
          <w:szCs w:val="24"/>
        </w:rPr>
        <w:t>免费。</w:t>
      </w:r>
    </w:p>
    <w:p>
      <w:pPr>
        <w:numPr>
          <w:ilvl w:val="0"/>
          <w:numId w:val="5"/>
        </w:numPr>
        <w:spacing w:line="360" w:lineRule="auto"/>
        <w:rPr>
          <w:rFonts w:hint="eastAsia"/>
          <w:b/>
          <w:sz w:val="24"/>
          <w:szCs w:val="24"/>
          <w:lang w:eastAsia="zh-CN"/>
        </w:rPr>
      </w:pPr>
      <w:r>
        <w:rPr>
          <w:rFonts w:hint="eastAsia"/>
          <w:b/>
          <w:sz w:val="24"/>
          <w:szCs w:val="24"/>
          <w:lang w:eastAsia="zh-CN"/>
        </w:rPr>
        <w:t>其他费用</w:t>
      </w:r>
    </w:p>
    <w:p>
      <w:pPr>
        <w:numPr>
          <w:ilvl w:val="0"/>
          <w:numId w:val="0"/>
        </w:numPr>
        <w:spacing w:line="360" w:lineRule="auto"/>
        <w:rPr>
          <w:rFonts w:hint="eastAsia"/>
          <w:b/>
          <w:sz w:val="24"/>
          <w:szCs w:val="24"/>
          <w:lang w:val="en-US" w:eastAsia="zh-CN"/>
        </w:rPr>
      </w:pPr>
      <w:r>
        <w:rPr>
          <w:rFonts w:hint="eastAsia"/>
          <w:b/>
          <w:sz w:val="24"/>
          <w:szCs w:val="24"/>
          <w:lang w:val="en-US" w:eastAsia="zh-CN"/>
        </w:rPr>
        <w:t xml:space="preserve">   </w:t>
      </w:r>
      <w:r>
        <w:rPr>
          <w:rFonts w:hint="eastAsia"/>
          <w:sz w:val="24"/>
          <w:szCs w:val="24"/>
          <w:lang w:val="en-US" w:eastAsia="zh-CN"/>
        </w:rPr>
        <w:t xml:space="preserve"> 一般其他生活费用大概在</w:t>
      </w:r>
      <w:r>
        <w:rPr>
          <w:rFonts w:hint="eastAsia"/>
          <w:sz w:val="24"/>
          <w:szCs w:val="24"/>
        </w:rPr>
        <w:t>500,000~700,000</w:t>
      </w:r>
      <w:r>
        <w:rPr>
          <w:rFonts w:hint="eastAsia"/>
          <w:sz w:val="24"/>
          <w:szCs w:val="24"/>
          <w:lang w:eastAsia="zh-CN"/>
        </w:rPr>
        <w:t>韩元左右。</w:t>
      </w:r>
    </w:p>
    <w:p>
      <w:pPr>
        <w:spacing w:line="360" w:lineRule="auto"/>
        <w:rPr>
          <w:rFonts w:hint="eastAsia"/>
          <w:sz w:val="24"/>
          <w:szCs w:val="24"/>
        </w:rPr>
      </w:pPr>
      <w:bookmarkStart w:id="2" w:name="_GoBack"/>
      <w:bookmarkEnd w:id="2"/>
    </w:p>
    <w:p>
      <w:pPr>
        <w:pStyle w:val="10"/>
        <w:numPr>
          <w:ilvl w:val="0"/>
          <w:numId w:val="3"/>
        </w:numPr>
        <w:spacing w:after="240" w:line="400" w:lineRule="exact"/>
        <w:ind w:firstLineChars="0"/>
        <w:jc w:val="left"/>
        <w:rPr>
          <w:sz w:val="24"/>
          <w:szCs w:val="24"/>
        </w:rPr>
      </w:pPr>
      <w:r>
        <w:rPr>
          <w:rFonts w:hint="eastAsia"/>
          <w:b/>
          <w:sz w:val="24"/>
          <w:szCs w:val="24"/>
        </w:rPr>
        <w:t>申请材料</w:t>
      </w:r>
      <w:r>
        <w:rPr>
          <w:rFonts w:hint="eastAsia"/>
          <w:b/>
          <w:color w:val="FF0000"/>
          <w:sz w:val="24"/>
          <w:szCs w:val="24"/>
        </w:rPr>
        <w:t>（递交材料截止日期：201</w:t>
      </w:r>
      <w:r>
        <w:rPr>
          <w:rFonts w:hint="eastAsia"/>
          <w:b/>
          <w:color w:val="FF0000"/>
          <w:sz w:val="24"/>
          <w:szCs w:val="24"/>
          <w:lang w:val="en-US" w:eastAsia="zh-CN"/>
        </w:rPr>
        <w:t>8</w:t>
      </w:r>
      <w:r>
        <w:rPr>
          <w:rFonts w:hint="eastAsia"/>
          <w:b/>
          <w:color w:val="FF0000"/>
          <w:sz w:val="24"/>
          <w:szCs w:val="24"/>
        </w:rPr>
        <w:t>年</w:t>
      </w:r>
      <w:r>
        <w:rPr>
          <w:rFonts w:hint="eastAsia"/>
          <w:b/>
          <w:color w:val="FF0000"/>
          <w:sz w:val="24"/>
          <w:szCs w:val="24"/>
          <w:lang w:val="en-US" w:eastAsia="zh-CN"/>
        </w:rPr>
        <w:t>10</w:t>
      </w:r>
      <w:r>
        <w:rPr>
          <w:rFonts w:hint="eastAsia"/>
          <w:b/>
          <w:color w:val="FF0000"/>
          <w:sz w:val="24"/>
          <w:szCs w:val="24"/>
        </w:rPr>
        <w:t>月</w:t>
      </w:r>
      <w:r>
        <w:rPr>
          <w:rFonts w:hint="eastAsia"/>
          <w:b/>
          <w:color w:val="FF0000"/>
          <w:sz w:val="24"/>
          <w:szCs w:val="24"/>
          <w:lang w:val="en-US" w:eastAsia="zh-CN"/>
        </w:rPr>
        <w:t>30</w:t>
      </w:r>
      <w:r>
        <w:rPr>
          <w:rFonts w:hint="eastAsia"/>
          <w:b/>
          <w:color w:val="FF0000"/>
          <w:sz w:val="24"/>
          <w:szCs w:val="24"/>
        </w:rPr>
        <w:t>日）</w:t>
      </w:r>
    </w:p>
    <w:p>
      <w:pPr>
        <w:pStyle w:val="11"/>
        <w:spacing w:line="400" w:lineRule="exact"/>
        <w:rPr>
          <w:rFonts w:ascii="宋体" w:hAnsi="宋体" w:eastAsia="宋体" w:cs="宋体"/>
          <w:bCs/>
          <w:lang w:eastAsia="zh-CN"/>
        </w:rPr>
      </w:pPr>
      <w:r>
        <w:rPr>
          <w:rFonts w:hint="eastAsia" w:ascii="宋体" w:hAnsi="宋体" w:eastAsia="宋体" w:cs="宋体"/>
          <w:bCs/>
          <w:lang w:eastAsia="zh-CN"/>
        </w:rPr>
        <w:t>※</w:t>
      </w:r>
      <w:r>
        <w:rPr>
          <w:rFonts w:ascii="宋体" w:hAnsi="宋体" w:eastAsia="宋体" w:cs="Georgia"/>
          <w:bCs/>
          <w:lang w:eastAsia="zh-CN"/>
        </w:rPr>
        <w:t xml:space="preserve"> </w:t>
      </w:r>
      <w:r>
        <w:rPr>
          <w:rFonts w:hint="eastAsia" w:ascii="宋体" w:hAnsi="宋体" w:eastAsia="宋体" w:cs="宋体"/>
          <w:bCs/>
          <w:lang w:eastAsia="zh-CN"/>
        </w:rPr>
        <w:t>请按照如下顺序，递交申请材料：</w:t>
      </w:r>
    </w:p>
    <w:p>
      <w:pPr>
        <w:spacing w:line="400" w:lineRule="exact"/>
        <w:ind w:right="403"/>
        <w:rPr>
          <w:rFonts w:ascii="宋体" w:hAnsi="宋体" w:eastAsia="宋体" w:cs="Gulim"/>
          <w:sz w:val="24"/>
          <w:szCs w:val="24"/>
        </w:rPr>
      </w:pPr>
      <w:r>
        <w:rPr>
          <w:rFonts w:ascii="宋体" w:hAnsi="宋体" w:eastAsia="宋体" w:cs="Gulim"/>
          <w:sz w:val="24"/>
          <w:szCs w:val="24"/>
        </w:rPr>
        <w:t xml:space="preserve">(1) </w:t>
      </w:r>
      <w:r>
        <w:rPr>
          <w:rFonts w:hint="eastAsia" w:ascii="宋体" w:hAnsi="宋体" w:eastAsia="宋体" w:cs="Gulim"/>
          <w:sz w:val="24"/>
          <w:szCs w:val="24"/>
          <w:lang w:eastAsia="zh-CN"/>
        </w:rPr>
        <w:t>在线填写</w:t>
      </w:r>
      <w:r>
        <w:rPr>
          <w:rFonts w:hint="eastAsia" w:ascii="宋体" w:hAnsi="宋体" w:eastAsia="宋体"/>
          <w:sz w:val="24"/>
          <w:szCs w:val="24"/>
        </w:rPr>
        <w:t>交换学生</w:t>
      </w:r>
      <w:r>
        <w:rPr>
          <w:rFonts w:hint="eastAsia" w:ascii="宋体" w:hAnsi="宋体" w:eastAsia="宋体" w:cs="New Gulim"/>
          <w:sz w:val="24"/>
          <w:szCs w:val="24"/>
        </w:rPr>
        <w:t>申请书</w:t>
      </w:r>
    </w:p>
    <w:p>
      <w:pPr>
        <w:spacing w:line="400" w:lineRule="exact"/>
        <w:ind w:right="403"/>
        <w:rPr>
          <w:rFonts w:ascii="宋体" w:hAnsi="宋体" w:eastAsia="宋体"/>
          <w:sz w:val="24"/>
          <w:szCs w:val="24"/>
        </w:rPr>
      </w:pPr>
      <w:r>
        <w:rPr>
          <w:rFonts w:ascii="宋体" w:hAnsi="宋体" w:eastAsia="宋体" w:cs="Gulim"/>
          <w:sz w:val="24"/>
          <w:szCs w:val="24"/>
        </w:rPr>
        <w:t>(</w:t>
      </w:r>
      <w:r>
        <w:rPr>
          <w:rFonts w:hint="eastAsia" w:ascii="宋体" w:hAnsi="宋体" w:eastAsia="宋体" w:cs="Gulim"/>
          <w:sz w:val="24"/>
          <w:szCs w:val="24"/>
          <w:lang w:val="en-US" w:eastAsia="zh-CN"/>
        </w:rPr>
        <w:t>2</w:t>
      </w:r>
      <w:r>
        <w:rPr>
          <w:rFonts w:ascii="宋体" w:hAnsi="宋体" w:eastAsia="宋体" w:cs="Gulim"/>
          <w:sz w:val="24"/>
          <w:szCs w:val="24"/>
        </w:rPr>
        <w:t xml:space="preserve">) </w:t>
      </w:r>
      <w:r>
        <w:rPr>
          <w:rFonts w:hint="eastAsia" w:ascii="宋体" w:hAnsi="宋体" w:eastAsia="宋体" w:cs="Gulim"/>
          <w:sz w:val="24"/>
          <w:szCs w:val="24"/>
          <w:lang w:eastAsia="zh-CN"/>
        </w:rPr>
        <w:t>大学成绩单</w:t>
      </w:r>
      <w:r>
        <w:rPr>
          <w:rFonts w:hint="eastAsia" w:ascii="宋体" w:hAnsi="宋体" w:eastAsia="宋体" w:cs="Gulim"/>
          <w:sz w:val="24"/>
          <w:szCs w:val="24"/>
        </w:rPr>
        <w:t>-英文(其他语言的证明要附上韩文翻</w:t>
      </w:r>
      <w:r>
        <w:rPr>
          <w:rFonts w:hint="eastAsia" w:ascii="宋体" w:hAnsi="宋体" w:eastAsia="宋体" w:cs="New Gulim"/>
          <w:sz w:val="24"/>
          <w:szCs w:val="24"/>
        </w:rPr>
        <w:t>译</w:t>
      </w:r>
      <w:r>
        <w:rPr>
          <w:rFonts w:hint="eastAsia" w:ascii="宋体" w:hAnsi="宋体" w:eastAsia="宋体"/>
          <w:sz w:val="24"/>
          <w:szCs w:val="24"/>
        </w:rPr>
        <w:t>件）</w:t>
      </w:r>
    </w:p>
    <w:p>
      <w:pPr>
        <w:spacing w:line="400" w:lineRule="exact"/>
        <w:ind w:right="403"/>
        <w:rPr>
          <w:rFonts w:ascii="宋体" w:hAnsi="宋体" w:eastAsia="宋体" w:cs="Georgia"/>
          <w:sz w:val="24"/>
          <w:szCs w:val="24"/>
        </w:rPr>
      </w:pPr>
      <w:r>
        <w:rPr>
          <w:rFonts w:ascii="宋体" w:hAnsi="宋体" w:eastAsia="宋体" w:cs="Gulim"/>
          <w:sz w:val="24"/>
          <w:szCs w:val="24"/>
        </w:rPr>
        <w:t>(</w:t>
      </w:r>
      <w:r>
        <w:rPr>
          <w:rFonts w:hint="eastAsia" w:ascii="宋体" w:hAnsi="宋体" w:eastAsia="宋体" w:cs="Gulim"/>
          <w:sz w:val="24"/>
          <w:szCs w:val="24"/>
          <w:lang w:val="en-US" w:eastAsia="zh-CN"/>
        </w:rPr>
        <w:t>3</w:t>
      </w:r>
      <w:r>
        <w:rPr>
          <w:rFonts w:ascii="宋体" w:hAnsi="宋体" w:eastAsia="宋体" w:cs="Gulim"/>
          <w:sz w:val="24"/>
          <w:szCs w:val="24"/>
        </w:rPr>
        <w:t xml:space="preserve">) </w:t>
      </w:r>
      <w:r>
        <w:rPr>
          <w:rFonts w:hint="eastAsia" w:ascii="宋体" w:hAnsi="宋体" w:eastAsia="宋体" w:cs="New Gulim"/>
          <w:sz w:val="24"/>
          <w:szCs w:val="24"/>
        </w:rPr>
        <w:t>护</w:t>
      </w:r>
      <w:r>
        <w:rPr>
          <w:rFonts w:hint="eastAsia" w:ascii="宋体" w:hAnsi="宋体" w:eastAsia="宋体"/>
          <w:sz w:val="24"/>
          <w:szCs w:val="24"/>
        </w:rPr>
        <w:t>照</w:t>
      </w:r>
      <w:r>
        <w:rPr>
          <w:rFonts w:hint="eastAsia" w:ascii="宋体" w:hAnsi="宋体" w:eastAsia="宋体" w:cs="New Gulim"/>
          <w:sz w:val="24"/>
          <w:szCs w:val="24"/>
        </w:rPr>
        <w:t>复</w:t>
      </w:r>
      <w:r>
        <w:rPr>
          <w:rFonts w:hint="eastAsia" w:ascii="宋体" w:hAnsi="宋体" w:eastAsia="宋体"/>
          <w:sz w:val="24"/>
          <w:szCs w:val="24"/>
        </w:rPr>
        <w:t>印件</w:t>
      </w:r>
    </w:p>
    <w:p>
      <w:pPr>
        <w:spacing w:line="400" w:lineRule="exact"/>
        <w:ind w:right="403"/>
        <w:rPr>
          <w:rFonts w:hint="eastAsia" w:ascii="宋体" w:hAnsi="宋体" w:eastAsia="宋体" w:cs="Gulim"/>
          <w:sz w:val="24"/>
          <w:szCs w:val="24"/>
          <w:lang w:eastAsia="zh-CN"/>
        </w:rPr>
      </w:pPr>
      <w:r>
        <w:rPr>
          <w:rFonts w:ascii="宋体" w:hAnsi="宋体" w:eastAsia="宋体" w:cs="Gulim"/>
          <w:sz w:val="24"/>
          <w:szCs w:val="24"/>
        </w:rPr>
        <w:t>(</w:t>
      </w:r>
      <w:r>
        <w:rPr>
          <w:rFonts w:hint="eastAsia" w:ascii="宋体" w:hAnsi="宋体" w:eastAsia="宋体" w:cs="Gulim"/>
          <w:sz w:val="24"/>
          <w:szCs w:val="24"/>
          <w:lang w:val="en-US" w:eastAsia="zh-CN"/>
        </w:rPr>
        <w:t>4</w:t>
      </w:r>
      <w:r>
        <w:rPr>
          <w:rFonts w:ascii="宋体" w:hAnsi="宋体" w:eastAsia="宋体" w:cs="Gulim"/>
          <w:sz w:val="24"/>
          <w:szCs w:val="24"/>
        </w:rPr>
        <w:t xml:space="preserve">) </w:t>
      </w:r>
      <w:r>
        <w:rPr>
          <w:rFonts w:hint="eastAsia" w:ascii="宋体" w:hAnsi="宋体" w:eastAsia="宋体" w:cs="Gulim"/>
          <w:sz w:val="24"/>
          <w:szCs w:val="24"/>
          <w:lang w:eastAsia="zh-CN"/>
        </w:rPr>
        <w:t>护照照片</w:t>
      </w:r>
    </w:p>
    <w:p>
      <w:pPr>
        <w:spacing w:line="400" w:lineRule="exact"/>
        <w:ind w:right="403"/>
        <w:rPr>
          <w:rFonts w:hint="eastAsia" w:ascii="宋体" w:hAnsi="宋体" w:eastAsia="宋体" w:cs="Gulim"/>
          <w:sz w:val="24"/>
          <w:szCs w:val="24"/>
          <w:lang w:eastAsia="zh-CN"/>
        </w:rPr>
      </w:pPr>
      <w:r>
        <w:rPr>
          <w:rFonts w:ascii="宋体" w:hAnsi="宋体" w:eastAsia="宋体" w:cs="Gulim"/>
          <w:sz w:val="24"/>
          <w:szCs w:val="24"/>
        </w:rPr>
        <w:t>(</w:t>
      </w:r>
      <w:r>
        <w:rPr>
          <w:rFonts w:hint="eastAsia" w:ascii="宋体" w:hAnsi="宋体" w:eastAsia="宋体" w:cs="Gulim"/>
          <w:sz w:val="24"/>
          <w:szCs w:val="24"/>
          <w:lang w:val="en-US" w:eastAsia="zh-CN"/>
        </w:rPr>
        <w:t>5</w:t>
      </w:r>
      <w:r>
        <w:rPr>
          <w:rFonts w:ascii="宋体" w:hAnsi="宋体" w:eastAsia="宋体" w:cs="Gulim"/>
          <w:sz w:val="24"/>
          <w:szCs w:val="24"/>
        </w:rPr>
        <w:t xml:space="preserve">) </w:t>
      </w:r>
      <w:r>
        <w:rPr>
          <w:rFonts w:hint="eastAsia" w:ascii="宋体" w:hAnsi="宋体" w:eastAsia="宋体" w:cs="Gulim"/>
          <w:sz w:val="24"/>
          <w:szCs w:val="24"/>
          <w:lang w:eastAsia="zh-CN"/>
        </w:rPr>
        <w:t>保险证明</w:t>
      </w:r>
    </w:p>
    <w:p>
      <w:pPr>
        <w:spacing w:line="400" w:lineRule="exact"/>
        <w:ind w:right="403"/>
        <w:rPr>
          <w:rFonts w:hint="eastAsia" w:ascii="宋体" w:hAnsi="宋体" w:eastAsia="宋体" w:cs="宋体"/>
          <w:i w:val="0"/>
          <w:caps w:val="0"/>
          <w:color w:val="000000"/>
          <w:spacing w:val="0"/>
          <w:sz w:val="24"/>
          <w:szCs w:val="24"/>
          <w:shd w:val="clear" w:fill="FFFFFF"/>
        </w:rPr>
      </w:pPr>
      <w:r>
        <w:rPr>
          <w:rFonts w:ascii="宋体" w:hAnsi="宋体" w:eastAsia="宋体" w:cs="Gulim"/>
          <w:sz w:val="24"/>
          <w:szCs w:val="24"/>
        </w:rPr>
        <w:t>(</w:t>
      </w:r>
      <w:r>
        <w:rPr>
          <w:rFonts w:hint="eastAsia" w:ascii="宋体" w:hAnsi="宋体" w:eastAsia="宋体" w:cs="Gulim"/>
          <w:sz w:val="24"/>
          <w:szCs w:val="24"/>
          <w:lang w:val="en-US" w:eastAsia="zh-CN"/>
        </w:rPr>
        <w:t>6</w:t>
      </w:r>
      <w:r>
        <w:rPr>
          <w:rFonts w:ascii="宋体" w:hAnsi="宋体" w:eastAsia="宋体" w:cs="Gulim"/>
          <w:sz w:val="24"/>
          <w:szCs w:val="24"/>
        </w:rPr>
        <w:t xml:space="preserve">) </w:t>
      </w:r>
      <w:r>
        <w:rPr>
          <w:rFonts w:hint="eastAsia" w:ascii="宋体" w:hAnsi="宋体" w:eastAsia="宋体" w:cs="宋体"/>
          <w:i w:val="0"/>
          <w:caps w:val="0"/>
          <w:color w:val="000000"/>
          <w:spacing w:val="0"/>
          <w:sz w:val="24"/>
          <w:szCs w:val="24"/>
          <w:shd w:val="clear" w:fill="FFFFFF"/>
        </w:rPr>
        <w:t>国境外健康保险</w:t>
      </w:r>
    </w:p>
    <w:p>
      <w:pPr>
        <w:overflowPunct w:val="0"/>
        <w:spacing w:line="400" w:lineRule="exact"/>
        <w:ind w:right="403"/>
        <w:rPr>
          <w:rFonts w:hint="eastAsia" w:ascii="宋体" w:hAnsi="宋体" w:eastAsia="宋体" w:cs="宋体"/>
          <w:bCs/>
          <w:sz w:val="24"/>
          <w:szCs w:val="24"/>
          <w:lang w:val="en-US" w:eastAsia="zh-CN"/>
        </w:rPr>
      </w:pPr>
      <w:r>
        <w:rPr>
          <w:rFonts w:ascii="宋体" w:hAnsi="宋体" w:eastAsia="宋体" w:cs="Gulim"/>
          <w:sz w:val="24"/>
          <w:szCs w:val="24"/>
        </w:rPr>
        <w:t>(</w:t>
      </w:r>
      <w:r>
        <w:rPr>
          <w:rFonts w:hint="eastAsia" w:ascii="宋体" w:hAnsi="宋体" w:eastAsia="宋体" w:cs="Gulim"/>
          <w:sz w:val="24"/>
          <w:szCs w:val="24"/>
          <w:lang w:val="en-US" w:eastAsia="zh-CN"/>
        </w:rPr>
        <w:t>7</w:t>
      </w:r>
      <w:r>
        <w:rPr>
          <w:rFonts w:ascii="宋体" w:hAnsi="宋体" w:eastAsia="宋体" w:cs="Gulim"/>
          <w:sz w:val="24"/>
          <w:szCs w:val="24"/>
        </w:rPr>
        <w:t>)</w:t>
      </w:r>
      <w:r>
        <w:rPr>
          <w:rFonts w:hint="eastAsia" w:ascii="宋体" w:hAnsi="宋体" w:eastAsia="宋体" w:cs="Gulim"/>
          <w:sz w:val="24"/>
          <w:szCs w:val="24"/>
          <w:lang w:val="en-US" w:eastAsia="zh-CN"/>
        </w:rPr>
        <w:t xml:space="preserve"> 推荐信</w:t>
      </w:r>
    </w:p>
    <w:p>
      <w:pPr>
        <w:overflowPunct w:val="0"/>
        <w:spacing w:line="400" w:lineRule="exact"/>
        <w:ind w:left="420" w:leftChars="200" w:right="403"/>
        <w:rPr>
          <w:rFonts w:hint="eastAsia" w:ascii="宋体" w:hAnsi="宋体" w:eastAsia="宋体" w:cs="Gulim"/>
          <w:snapToGrid w:val="0"/>
          <w:sz w:val="24"/>
          <w:szCs w:val="24"/>
        </w:rPr>
      </w:pPr>
    </w:p>
    <w:p>
      <w:pPr>
        <w:pStyle w:val="10"/>
        <w:numPr>
          <w:ilvl w:val="0"/>
          <w:numId w:val="3"/>
        </w:numPr>
        <w:spacing w:after="240" w:line="400" w:lineRule="exact"/>
        <w:ind w:firstLineChars="0"/>
        <w:jc w:val="left"/>
        <w:rPr>
          <w:sz w:val="24"/>
          <w:szCs w:val="24"/>
        </w:rPr>
      </w:pPr>
      <w:r>
        <w:rPr>
          <w:rFonts w:hint="eastAsia"/>
          <w:b/>
          <w:sz w:val="24"/>
          <w:szCs w:val="24"/>
          <w:lang w:eastAsia="zh-CN"/>
        </w:rPr>
        <w:t>汉阳</w:t>
      </w:r>
      <w:r>
        <w:rPr>
          <w:rFonts w:hint="eastAsia"/>
          <w:b/>
          <w:sz w:val="24"/>
          <w:szCs w:val="24"/>
        </w:rPr>
        <w:t>大学联系方式</w:t>
      </w:r>
    </w:p>
    <w:p>
      <w:pPr>
        <w:spacing w:line="400" w:lineRule="exact"/>
        <w:ind w:right="403"/>
        <w:jc w:val="left"/>
        <w:rPr>
          <w:rFonts w:hint="eastAsia" w:ascii="宋体" w:hAnsi="宋体" w:eastAsia="宋体"/>
          <w:sz w:val="24"/>
          <w:szCs w:val="24"/>
        </w:rPr>
      </w:pPr>
      <w:r>
        <w:rPr>
          <w:rFonts w:hint="eastAsia" w:ascii="宋体" w:hAnsi="宋体" w:eastAsia="宋体"/>
          <w:sz w:val="24"/>
          <w:szCs w:val="24"/>
        </w:rPr>
        <w:t xml:space="preserve">Ms. Jinnie Yoon (Manager) </w:t>
      </w:r>
    </w:p>
    <w:p>
      <w:pPr>
        <w:spacing w:line="400" w:lineRule="exact"/>
        <w:ind w:right="403"/>
        <w:jc w:val="left"/>
        <w:rPr>
          <w:rFonts w:hint="eastAsia" w:ascii="宋体" w:hAnsi="宋体" w:eastAsia="宋体"/>
          <w:sz w:val="24"/>
          <w:szCs w:val="24"/>
        </w:rPr>
      </w:pPr>
      <w:r>
        <w:rPr>
          <w:rFonts w:hint="eastAsia" w:ascii="宋体" w:hAnsi="宋体" w:eastAsia="宋体"/>
          <w:sz w:val="24"/>
          <w:szCs w:val="24"/>
        </w:rPr>
        <w:t xml:space="preserve">Email: jinnie@hanyang.ac.kr </w:t>
      </w:r>
    </w:p>
    <w:p>
      <w:pPr>
        <w:spacing w:line="400" w:lineRule="exact"/>
        <w:ind w:right="403"/>
        <w:jc w:val="left"/>
        <w:rPr>
          <w:rFonts w:hint="eastAsia" w:ascii="宋体" w:hAnsi="宋体" w:eastAsia="宋体"/>
          <w:sz w:val="24"/>
          <w:szCs w:val="24"/>
        </w:rPr>
      </w:pPr>
      <w:r>
        <w:rPr>
          <w:rFonts w:hint="eastAsia" w:ascii="宋体" w:hAnsi="宋体" w:eastAsia="宋体"/>
          <w:sz w:val="24"/>
          <w:szCs w:val="24"/>
        </w:rPr>
        <w:t xml:space="preserve">Tel: +82 31 400 4914 </w:t>
      </w:r>
    </w:p>
    <w:p>
      <w:pPr>
        <w:spacing w:line="400" w:lineRule="exact"/>
        <w:ind w:right="403"/>
        <w:jc w:val="left"/>
        <w:rPr>
          <w:rFonts w:hint="eastAsia" w:ascii="宋体" w:hAnsi="宋体" w:eastAsia="宋体"/>
          <w:sz w:val="24"/>
          <w:szCs w:val="24"/>
        </w:rPr>
      </w:pPr>
    </w:p>
    <w:p>
      <w:pPr>
        <w:spacing w:line="400" w:lineRule="exact"/>
        <w:ind w:right="403"/>
        <w:jc w:val="left"/>
        <w:rPr>
          <w:rFonts w:hint="eastAsia" w:ascii="宋体" w:hAnsi="宋体" w:eastAsia="宋体"/>
          <w:sz w:val="24"/>
          <w:szCs w:val="24"/>
        </w:rPr>
      </w:pPr>
    </w:p>
    <w:sectPr>
      <w:footerReference r:id="rId3" w:type="default"/>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ÈÞ¸Õ¸ðÀ½T">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Georgia">
    <w:panose1 w:val="02040502050405020303"/>
    <w:charset w:val="00"/>
    <w:family w:val="roman"/>
    <w:pitch w:val="default"/>
    <w:sig w:usb0="00000287" w:usb1="00000000" w:usb2="00000000" w:usb3="00000000" w:csb0="2000009F" w:csb1="00000000"/>
  </w:font>
  <w:font w:name="Gulim">
    <w:panose1 w:val="020B0600000101010101"/>
    <w:charset w:val="81"/>
    <w:family w:val="swiss"/>
    <w:pitch w:val="default"/>
    <w:sig w:usb0="B00002AF" w:usb1="69D77CFB" w:usb2="00000030" w:usb3="00000000" w:csb0="4008009F" w:csb1="DFD70000"/>
  </w:font>
  <w:font w:name="New Gulim">
    <w:altName w:val="Gulim"/>
    <w:panose1 w:val="00000000000000000000"/>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682603"/>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5BFE41"/>
    <w:multiLevelType w:val="multilevel"/>
    <w:tmpl w:val="A35BFE41"/>
    <w:lvl w:ilvl="0" w:tentative="0">
      <w:start w:val="1"/>
      <w:numFmt w:val="decimal"/>
      <w:lvlText w:val="%1、"/>
      <w:lvlJc w:val="left"/>
      <w:pPr>
        <w:ind w:left="375" w:hanging="3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F40D4C2"/>
    <w:multiLevelType w:val="singleLevel"/>
    <w:tmpl w:val="BF40D4C2"/>
    <w:lvl w:ilvl="0" w:tentative="0">
      <w:start w:val="4"/>
      <w:numFmt w:val="decimal"/>
      <w:suff w:val="nothing"/>
      <w:lvlText w:val="%1、"/>
      <w:lvlJc w:val="left"/>
    </w:lvl>
  </w:abstractNum>
  <w:abstractNum w:abstractNumId="2">
    <w:nsid w:val="3D995C3D"/>
    <w:multiLevelType w:val="multilevel"/>
    <w:tmpl w:val="3D995C3D"/>
    <w:lvl w:ilvl="0" w:tentative="0">
      <w:start w:val="3"/>
      <w:numFmt w:val="japaneseCounting"/>
      <w:lvlText w:val="%1、"/>
      <w:lvlJc w:val="left"/>
      <w:pPr>
        <w:ind w:left="510" w:hanging="510"/>
      </w:pPr>
      <w:rPr>
        <w:rFonts w:hint="default"/>
        <w:b/>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046798C"/>
    <w:multiLevelType w:val="multilevel"/>
    <w:tmpl w:val="4046798C"/>
    <w:lvl w:ilvl="0" w:tentative="0">
      <w:start w:val="1"/>
      <w:numFmt w:val="decimal"/>
      <w:lvlText w:val="%1、"/>
      <w:lvlJc w:val="left"/>
      <w:pPr>
        <w:ind w:left="375" w:hanging="3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B626E1"/>
    <w:multiLevelType w:val="multilevel"/>
    <w:tmpl w:val="50B626E1"/>
    <w:lvl w:ilvl="0" w:tentative="0">
      <w:start w:val="1"/>
      <w:numFmt w:val="japaneseCounting"/>
      <w:lvlText w:val="%1、"/>
      <w:lvlJc w:val="left"/>
      <w:pPr>
        <w:ind w:left="600" w:hanging="6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76D6D"/>
    <w:rsid w:val="0004765C"/>
    <w:rsid w:val="00072676"/>
    <w:rsid w:val="000A2DCA"/>
    <w:rsid w:val="000C0D7E"/>
    <w:rsid w:val="00106E09"/>
    <w:rsid w:val="00106E2B"/>
    <w:rsid w:val="0014198E"/>
    <w:rsid w:val="00150656"/>
    <w:rsid w:val="00195022"/>
    <w:rsid w:val="001A4924"/>
    <w:rsid w:val="001B3965"/>
    <w:rsid w:val="001B5969"/>
    <w:rsid w:val="001B6C7E"/>
    <w:rsid w:val="001C43A7"/>
    <w:rsid w:val="001F1915"/>
    <w:rsid w:val="00254325"/>
    <w:rsid w:val="002A0444"/>
    <w:rsid w:val="002A6415"/>
    <w:rsid w:val="002F5DC9"/>
    <w:rsid w:val="002F6180"/>
    <w:rsid w:val="00300816"/>
    <w:rsid w:val="003179F0"/>
    <w:rsid w:val="00353C96"/>
    <w:rsid w:val="0035470C"/>
    <w:rsid w:val="003732EC"/>
    <w:rsid w:val="00381738"/>
    <w:rsid w:val="003A748B"/>
    <w:rsid w:val="003B2507"/>
    <w:rsid w:val="003B3A97"/>
    <w:rsid w:val="00403C99"/>
    <w:rsid w:val="00427B02"/>
    <w:rsid w:val="0047345B"/>
    <w:rsid w:val="004764A3"/>
    <w:rsid w:val="00480CA3"/>
    <w:rsid w:val="004F71BC"/>
    <w:rsid w:val="00532C2A"/>
    <w:rsid w:val="00556248"/>
    <w:rsid w:val="00576BAB"/>
    <w:rsid w:val="005F4361"/>
    <w:rsid w:val="0063364A"/>
    <w:rsid w:val="00677798"/>
    <w:rsid w:val="00691492"/>
    <w:rsid w:val="006C163C"/>
    <w:rsid w:val="0070227F"/>
    <w:rsid w:val="00711B42"/>
    <w:rsid w:val="007143DD"/>
    <w:rsid w:val="00722251"/>
    <w:rsid w:val="0074561C"/>
    <w:rsid w:val="00773146"/>
    <w:rsid w:val="007743F2"/>
    <w:rsid w:val="007A6FB7"/>
    <w:rsid w:val="007B7DE4"/>
    <w:rsid w:val="007C5D16"/>
    <w:rsid w:val="007D6718"/>
    <w:rsid w:val="007D6D6B"/>
    <w:rsid w:val="00823AED"/>
    <w:rsid w:val="0084283E"/>
    <w:rsid w:val="008668A0"/>
    <w:rsid w:val="00875542"/>
    <w:rsid w:val="008939AA"/>
    <w:rsid w:val="00894162"/>
    <w:rsid w:val="008A0ADE"/>
    <w:rsid w:val="008B05C6"/>
    <w:rsid w:val="008B52BC"/>
    <w:rsid w:val="008C7F8C"/>
    <w:rsid w:val="009162EF"/>
    <w:rsid w:val="0097247E"/>
    <w:rsid w:val="009A660E"/>
    <w:rsid w:val="009A72A1"/>
    <w:rsid w:val="009C5EF1"/>
    <w:rsid w:val="009C6A3F"/>
    <w:rsid w:val="009D348F"/>
    <w:rsid w:val="00A25AF9"/>
    <w:rsid w:val="00A26A03"/>
    <w:rsid w:val="00A64A88"/>
    <w:rsid w:val="00AC4644"/>
    <w:rsid w:val="00AE2681"/>
    <w:rsid w:val="00B5596C"/>
    <w:rsid w:val="00B96A35"/>
    <w:rsid w:val="00BA5A43"/>
    <w:rsid w:val="00C324B1"/>
    <w:rsid w:val="00C34484"/>
    <w:rsid w:val="00C402E8"/>
    <w:rsid w:val="00C54BB6"/>
    <w:rsid w:val="00C76D6D"/>
    <w:rsid w:val="00CD70B3"/>
    <w:rsid w:val="00D04018"/>
    <w:rsid w:val="00D57E8B"/>
    <w:rsid w:val="00D60B37"/>
    <w:rsid w:val="00D901F0"/>
    <w:rsid w:val="00DC4C7C"/>
    <w:rsid w:val="00DD0071"/>
    <w:rsid w:val="00DD635C"/>
    <w:rsid w:val="00E026CC"/>
    <w:rsid w:val="00E2079F"/>
    <w:rsid w:val="00E61135"/>
    <w:rsid w:val="00ED42AA"/>
    <w:rsid w:val="00EE5A68"/>
    <w:rsid w:val="00F11266"/>
    <w:rsid w:val="00F44E37"/>
    <w:rsid w:val="00F51F28"/>
    <w:rsid w:val="00F678C0"/>
    <w:rsid w:val="00F8110E"/>
    <w:rsid w:val="00FD4605"/>
    <w:rsid w:val="00FF5F67"/>
    <w:rsid w:val="0A63511B"/>
    <w:rsid w:val="0EEF2C33"/>
    <w:rsid w:val="12F5498A"/>
    <w:rsid w:val="13FE35D3"/>
    <w:rsid w:val="35EE5AE9"/>
    <w:rsid w:val="40352F32"/>
    <w:rsid w:val="63DC264A"/>
    <w:rsid w:val="65B039A6"/>
    <w:rsid w:val="7DC30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u w:val="single"/>
    </w:rPr>
  </w:style>
  <w:style w:type="character" w:styleId="6">
    <w:name w:val="Hyperlink"/>
    <w:basedOn w:val="4"/>
    <w:semiHidden/>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s0"/>
    <w:qFormat/>
    <w:uiPriority w:val="0"/>
    <w:pPr>
      <w:widowControl w:val="0"/>
      <w:autoSpaceDE w:val="0"/>
      <w:autoSpaceDN w:val="0"/>
      <w:adjustRightInd w:val="0"/>
    </w:pPr>
    <w:rPr>
      <w:rFonts w:ascii="ÈÞ¸Õ¸ðÀ½T" w:hAnsi="ÈÞ¸Õ¸ðÀ½T" w:eastAsia="Malgun Gothic" w:cs="Times New Roman"/>
      <w:kern w:val="0"/>
      <w:sz w:val="24"/>
      <w:szCs w:val="24"/>
      <w:lang w:val="en-US" w:eastAsia="ko-KR"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304</Words>
  <Characters>1735</Characters>
  <Lines>14</Lines>
  <Paragraphs>4</Paragraphs>
  <TotalTime>3</TotalTime>
  <ScaleCrop>false</ScaleCrop>
  <LinksUpToDate>false</LinksUpToDate>
  <CharactersWithSpaces>2035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2017-05-04T07:58:00Z</dcterms:created>
  <dc:creator>Administrator</dc:creator>
  <cp:lastModifiedBy>qzuser</cp:lastModifiedBy>
  <dcterms:modified xsi:type="dcterms:W3CDTF">2018-09-19T02:37:43Z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